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23" w:rsidRPr="00991B3F" w:rsidRDefault="00416C23">
      <w:pPr>
        <w:rPr>
          <w:b/>
        </w:rPr>
      </w:pPr>
      <w:proofErr w:type="spellStart"/>
      <w:r w:rsidRPr="00991B3F">
        <w:rPr>
          <w:b/>
        </w:rPr>
        <w:t>Bolzeneinhangkassette</w:t>
      </w:r>
      <w:proofErr w:type="spellEnd"/>
      <w:r w:rsidR="00A47A73">
        <w:rPr>
          <w:b/>
        </w:rPr>
        <w:t xml:space="preserve"> mit innenliegenden Bolzen</w:t>
      </w:r>
    </w:p>
    <w:p w:rsidR="00416C23" w:rsidRDefault="00DD4BC0" w:rsidP="00416C23">
      <w:pPr>
        <w:ind w:left="1416" w:hanging="1416"/>
      </w:pPr>
      <w:r>
        <w:t>Typ:</w:t>
      </w:r>
      <w:r>
        <w:tab/>
      </w:r>
      <w:proofErr w:type="spellStart"/>
      <w:r w:rsidR="00416C23">
        <w:t>Einhangkassette</w:t>
      </w:r>
      <w:proofErr w:type="spellEnd"/>
      <w:r>
        <w:t xml:space="preserve"> aus bandbeschichtetem Aluminium</w:t>
      </w:r>
      <w:r w:rsidR="00416C23">
        <w:t xml:space="preserve"> mit verdeckt montierten Bolzen als vorgehängte </w:t>
      </w:r>
      <w:proofErr w:type="spellStart"/>
      <w:r w:rsidR="00416C23">
        <w:t>hinterlüftete</w:t>
      </w:r>
      <w:proofErr w:type="spellEnd"/>
      <w:r w:rsidR="00416C23">
        <w:t xml:space="preserve"> Fassade montiert auf einer Aluminium-Unterkonstruktion.</w:t>
      </w:r>
    </w:p>
    <w:p w:rsidR="00F87A17" w:rsidRDefault="00416C23" w:rsidP="00F87A17">
      <w:pPr>
        <w:ind w:left="1416" w:hanging="1416"/>
      </w:pPr>
      <w:r>
        <w:t>Ausführung:</w:t>
      </w:r>
      <w:r>
        <w:tab/>
        <w:t>Obere Abkantung als Z-</w:t>
      </w:r>
      <w:proofErr w:type="spellStart"/>
      <w:r>
        <w:t>Kantung</w:t>
      </w:r>
      <w:proofErr w:type="spellEnd"/>
      <w:r>
        <w:t>, untere Abkantung</w:t>
      </w:r>
      <w:r w:rsidR="00770C0C">
        <w:t xml:space="preserve"> als U-</w:t>
      </w:r>
      <w:proofErr w:type="spellStart"/>
      <w:r w:rsidR="00770C0C">
        <w:t>Kantung</w:t>
      </w:r>
      <w:proofErr w:type="spellEnd"/>
      <w:r w:rsidR="00770C0C">
        <w:t>, K</w:t>
      </w:r>
      <w:r>
        <w:t xml:space="preserve">anttiefen entsprechend den statischen Anforderungen. In </w:t>
      </w:r>
      <w:r w:rsidR="00991B3F">
        <w:t xml:space="preserve">den seitlichen, vertikalen </w:t>
      </w:r>
      <w:proofErr w:type="spellStart"/>
      <w:r w:rsidR="00991B3F">
        <w:t>Umkantungen</w:t>
      </w:r>
      <w:proofErr w:type="spellEnd"/>
      <w:r w:rsidR="00991B3F">
        <w:t xml:space="preserve"> sind tiefgezogene Befestigungslöcher zur Aufnahme von Edelstahl-Senkkopfschrauben</w:t>
      </w:r>
      <w:r w:rsidR="00F87A17">
        <w:t xml:space="preserve"> vorzusehen. </w:t>
      </w:r>
      <w:proofErr w:type="spellStart"/>
      <w:r w:rsidR="00F87A17">
        <w:t>Einhängung</w:t>
      </w:r>
      <w:proofErr w:type="spellEnd"/>
      <w:r w:rsidR="00F87A17">
        <w:t xml:space="preserve"> über an den Senkkopfschrauben befestigte Aluminiumbolzen in der Unterkonstruktion. </w:t>
      </w:r>
      <w:r w:rsidR="00F87A17">
        <w:br/>
        <w:t>Die Schrauben sind flächenbündig in der Kassette zu versenken und in Fassadenfarbe auszuführen.</w:t>
      </w:r>
      <w:r w:rsidR="00F87A17">
        <w:br/>
        <w:t>Mittenaussteifungen entsprechend</w:t>
      </w:r>
      <w:r w:rsidR="00770C0C">
        <w:t xml:space="preserve"> den statischen Erfordernissen r</w:t>
      </w:r>
      <w:r w:rsidR="00F87A17">
        <w:t>ückseitig geklebt.</w:t>
      </w:r>
      <w:r w:rsidR="00F87A17">
        <w:br/>
        <w:t xml:space="preserve">Die Kassetten sind </w:t>
      </w:r>
      <w:proofErr w:type="spellStart"/>
      <w:r w:rsidR="00F87A17">
        <w:t>planeben</w:t>
      </w:r>
      <w:proofErr w:type="spellEnd"/>
      <w:r w:rsidR="00F87A17">
        <w:t xml:space="preserve"> herzustellen</w:t>
      </w:r>
      <w:r w:rsidR="00776EE1">
        <w:t>.</w:t>
      </w:r>
      <w:r w:rsidR="00776EE1">
        <w:br/>
      </w:r>
      <w:r w:rsidR="00F87A17">
        <w:t>Im Bereich von Fassadenbeleuchtungen und Hochglanzfassaden erhöhte Planheitsanforderungen.</w:t>
      </w:r>
    </w:p>
    <w:p w:rsidR="00F87A17" w:rsidRDefault="00F87A17" w:rsidP="00F87A17">
      <w:pPr>
        <w:ind w:left="1416" w:hanging="1416"/>
      </w:pPr>
      <w:proofErr w:type="spellStart"/>
      <w:r>
        <w:t>Umkantung</w:t>
      </w:r>
      <w:proofErr w:type="spellEnd"/>
      <w:r>
        <w:t>:</w:t>
      </w:r>
      <w:r>
        <w:tab/>
        <w:t>□ Ecken dicht gekantet</w:t>
      </w:r>
      <w:r>
        <w:br/>
        <w:t>□ Ecken umgelegt</w:t>
      </w:r>
      <w:r>
        <w:br/>
        <w:t>□ Ecken umgelegt, ineinandergreifend</w:t>
      </w:r>
    </w:p>
    <w:p w:rsidR="00776EE1" w:rsidRDefault="00F87A17" w:rsidP="00776EE1">
      <w:pPr>
        <w:ind w:left="1416" w:hanging="1416"/>
      </w:pPr>
      <w:r>
        <w:t>Montage:</w:t>
      </w:r>
      <w:r>
        <w:tab/>
      </w:r>
      <w:proofErr w:type="spellStart"/>
      <w:r>
        <w:t>Zwängungsfrei</w:t>
      </w:r>
      <w:proofErr w:type="spellEnd"/>
      <w:r>
        <w:t xml:space="preserve"> mit ausgebildeten Fest- und Gleitpunkten mittels Presslaschenblindniet.</w:t>
      </w:r>
      <w:r>
        <w:br/>
        <w:t>Ggf</w:t>
      </w:r>
      <w:r w:rsidR="00770C0C">
        <w:t>s</w:t>
      </w:r>
      <w:r>
        <w:t xml:space="preserve">. </w:t>
      </w:r>
      <w:r w:rsidR="00770C0C">
        <w:t>s</w:t>
      </w:r>
      <w:r>
        <w:t>ichtbare Niete sind in Fassadenfarbe auszuführen.</w:t>
      </w:r>
      <w:r w:rsidR="00776EE1">
        <w:br/>
        <w:t>Die thermische Ausdehnung der Elemente ist zu beachten.</w:t>
      </w:r>
    </w:p>
    <w:p w:rsidR="007C42FE" w:rsidRDefault="007C42FE" w:rsidP="007C42FE">
      <w:pPr>
        <w:ind w:left="1416" w:hanging="1416"/>
      </w:pPr>
      <w:r>
        <w:t>Verlegeraster:</w:t>
      </w:r>
      <w:r>
        <w:tab/>
        <w:t xml:space="preserve">Fugenbreite _____mm </w:t>
      </w:r>
      <w:r w:rsidR="00A47A73">
        <w:t>(min. 15</w:t>
      </w:r>
      <w:r w:rsidR="00E11A0D">
        <w:t xml:space="preserve"> </w:t>
      </w:r>
      <w:bookmarkStart w:id="0" w:name="_GoBack"/>
      <w:bookmarkEnd w:id="0"/>
      <w:r w:rsidR="00A47A73">
        <w:t xml:space="preserve">mm) </w:t>
      </w:r>
      <w:r>
        <w:t>jedoch nicht unter den Anforderungen der Wärmeausdehnung</w:t>
      </w:r>
    </w:p>
    <w:p w:rsidR="00F87A17" w:rsidRDefault="00F87A17" w:rsidP="00F87A17">
      <w:pPr>
        <w:ind w:left="1416" w:hanging="1416"/>
      </w:pPr>
      <w:r>
        <w:t>Material:</w:t>
      </w:r>
      <w:r>
        <w:tab/>
        <w:t>Novelis FF2 entsprechend Materialspezifikation</w:t>
      </w:r>
    </w:p>
    <w:p w:rsidR="00F87A17" w:rsidRDefault="00F87A17" w:rsidP="00F87A17">
      <w:pPr>
        <w:ind w:left="1416" w:hanging="1416"/>
      </w:pPr>
      <w:r>
        <w:br/>
      </w:r>
    </w:p>
    <w:p w:rsidR="00F87A17" w:rsidRDefault="00F87A17" w:rsidP="00F87A17">
      <w:pPr>
        <w:ind w:left="1416" w:hanging="1416"/>
      </w:pPr>
    </w:p>
    <w:sectPr w:rsidR="00F87A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B39"/>
    <w:rsid w:val="003020F2"/>
    <w:rsid w:val="00416C23"/>
    <w:rsid w:val="00770C0C"/>
    <w:rsid w:val="00776EE1"/>
    <w:rsid w:val="007C42FE"/>
    <w:rsid w:val="00991B3F"/>
    <w:rsid w:val="00A47A73"/>
    <w:rsid w:val="00DD4BC0"/>
    <w:rsid w:val="00E11A0D"/>
    <w:rsid w:val="00E53B39"/>
    <w:rsid w:val="00F8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58536-258F-4E31-9283-9882C9E3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87A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9559-144D-4D5D-9944-FEEF34CD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10</cp:revision>
  <dcterms:created xsi:type="dcterms:W3CDTF">2016-06-14T11:44:00Z</dcterms:created>
  <dcterms:modified xsi:type="dcterms:W3CDTF">2016-06-29T15:07:00Z</dcterms:modified>
</cp:coreProperties>
</file>